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80" w:type="dxa"/>
        <w:tblCellMar>
          <w:left w:w="0" w:type="dxa"/>
          <w:right w:w="0" w:type="dxa"/>
        </w:tblCellMar>
        <w:tblLook w:val="04A0" w:firstRow="1" w:lastRow="0" w:firstColumn="1" w:lastColumn="0" w:noHBand="0" w:noVBand="1"/>
      </w:tblPr>
      <w:tblGrid>
        <w:gridCol w:w="3270"/>
        <w:gridCol w:w="5910"/>
      </w:tblGrid>
      <w:tr w:rsidR="00A37B5A" w:rsidRPr="00A37B5A" w:rsidTr="00A37B5A">
        <w:trPr>
          <w:gridAfter w:val="1"/>
          <w:tblCellSpacing w:w="0" w:type="dxa"/>
        </w:trPr>
        <w:tc>
          <w:tcPr>
            <w:tcW w:w="3270" w:type="dxa"/>
            <w:hideMark/>
          </w:tcPr>
          <w:p w:rsidR="00A37B5A" w:rsidRPr="00A37B5A" w:rsidRDefault="00A37B5A" w:rsidP="00A37B5A">
            <w:pPr>
              <w:spacing w:after="0" w:line="240" w:lineRule="auto"/>
              <w:rPr>
                <w:rFonts w:ascii="Arial" w:eastAsia="Times New Roman" w:hAnsi="Arial" w:cs="Arial"/>
                <w:color w:val="676767"/>
                <w:sz w:val="20"/>
                <w:szCs w:val="20"/>
              </w:rPr>
            </w:pPr>
            <w:r w:rsidRPr="00A37B5A">
              <w:rPr>
                <w:rFonts w:ascii="Arial" w:eastAsia="Times New Roman" w:hAnsi="Arial" w:cs="Arial"/>
                <w:b/>
                <w:color w:val="676767"/>
                <w:sz w:val="20"/>
                <w:szCs w:val="20"/>
              </w:rPr>
              <w:t>MEDICAL EXAMINER</w:t>
            </w: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9F66B3" w:rsidP="00A37B5A">
            <w:pPr>
              <w:spacing w:after="0" w:line="240" w:lineRule="auto"/>
              <w:rPr>
                <w:rFonts w:ascii="Arial" w:eastAsia="Times New Roman" w:hAnsi="Arial" w:cs="Arial"/>
                <w:b/>
                <w:bCs/>
                <w:color w:val="676767"/>
                <w:sz w:val="20"/>
                <w:szCs w:val="20"/>
              </w:rPr>
            </w:pPr>
            <w:r>
              <w:rPr>
                <w:rFonts w:ascii="Arial" w:eastAsia="Times New Roman" w:hAnsi="Arial" w:cs="Arial"/>
                <w:b/>
                <w:bCs/>
                <w:color w:val="676767"/>
                <w:sz w:val="20"/>
                <w:szCs w:val="20"/>
              </w:rPr>
              <w:t xml:space="preserve">About the Medical Examiner’s Office </w:t>
            </w:r>
          </w:p>
        </w:tc>
        <w:tc>
          <w:tcPr>
            <w:tcW w:w="0" w:type="auto"/>
            <w:hideMark/>
          </w:tcPr>
          <w:p w:rsidR="009F66B3" w:rsidRDefault="00A37B5A" w:rsidP="00A37B5A">
            <w:pPr>
              <w:spacing w:before="100" w:beforeAutospacing="1" w:after="100" w:afterAutospacing="1"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 xml:space="preserve">This position </w:t>
            </w:r>
            <w:r w:rsidR="009F66B3" w:rsidRPr="00A37B5A">
              <w:rPr>
                <w:rFonts w:ascii="Arial" w:eastAsia="Times New Roman" w:hAnsi="Arial" w:cs="Arial"/>
                <w:b/>
                <w:bCs/>
                <w:color w:val="676767"/>
                <w:sz w:val="20"/>
                <w:szCs w:val="20"/>
              </w:rPr>
              <w:t>is in</w:t>
            </w:r>
            <w:r w:rsidRPr="00A37B5A">
              <w:rPr>
                <w:rFonts w:ascii="Arial" w:eastAsia="Times New Roman" w:hAnsi="Arial" w:cs="Arial"/>
                <w:b/>
                <w:bCs/>
                <w:color w:val="676767"/>
                <w:sz w:val="20"/>
                <w:szCs w:val="20"/>
              </w:rPr>
              <w:t xml:space="preserve"> the Medical Examiner’s Office of </w:t>
            </w:r>
            <w:r w:rsidR="009F66B3">
              <w:rPr>
                <w:rFonts w:ascii="Arial" w:eastAsia="Times New Roman" w:hAnsi="Arial" w:cs="Arial"/>
                <w:b/>
                <w:bCs/>
                <w:color w:val="676767"/>
                <w:sz w:val="20"/>
                <w:szCs w:val="20"/>
              </w:rPr>
              <w:t xml:space="preserve">the </w:t>
            </w:r>
            <w:r w:rsidRPr="00A37B5A">
              <w:rPr>
                <w:rFonts w:ascii="Arial" w:eastAsia="Times New Roman" w:hAnsi="Arial" w:cs="Arial"/>
                <w:b/>
                <w:bCs/>
                <w:color w:val="676767"/>
                <w:sz w:val="20"/>
                <w:szCs w:val="20"/>
              </w:rPr>
              <w:t>Cobb County Government.</w:t>
            </w:r>
            <w:r w:rsidR="009F66B3">
              <w:rPr>
                <w:rFonts w:ascii="Arial" w:eastAsia="Times New Roman" w:hAnsi="Arial" w:cs="Arial"/>
                <w:b/>
                <w:bCs/>
                <w:color w:val="676767"/>
                <w:sz w:val="20"/>
                <w:szCs w:val="20"/>
              </w:rPr>
              <w:t xml:space="preserve"> The Cobb County Medical Examiner’s Office is one of four County operated medical examiner’s offices located within the state of Georgia. Its mission is to provide the citizens and the justice system of Cobb County with accurate and timely medico-legal death investigations and examinations, where the causation of death occurred within the geographic boundaries of the County. </w:t>
            </w:r>
          </w:p>
          <w:p w:rsidR="00662306" w:rsidRDefault="009F66B3" w:rsidP="00A37B5A">
            <w:pPr>
              <w:spacing w:before="100" w:beforeAutospacing="1" w:after="100" w:afterAutospacing="1" w:line="240" w:lineRule="auto"/>
              <w:rPr>
                <w:rFonts w:ascii="Arial" w:eastAsia="Times New Roman" w:hAnsi="Arial" w:cs="Arial"/>
                <w:b/>
                <w:bCs/>
                <w:color w:val="676767"/>
                <w:sz w:val="20"/>
                <w:szCs w:val="20"/>
              </w:rPr>
            </w:pPr>
            <w:r>
              <w:rPr>
                <w:rFonts w:ascii="Arial" w:eastAsia="Times New Roman" w:hAnsi="Arial" w:cs="Arial"/>
                <w:b/>
                <w:bCs/>
                <w:color w:val="676767"/>
                <w:sz w:val="20"/>
                <w:szCs w:val="20"/>
              </w:rPr>
              <w:t xml:space="preserve">One-thousand six-hundred five (1,605) cases were reported to the Medical Examiner’s Office in 2018. Of these cases, 679 were accepted for investigation, 96 were external investigations only (no autopsy), and 467 autopsies were performed. It employs one Chief Medical Examiner, two Medical Examiners, seven seasoned Investigators, two Forensic Technicians, two Administrative Technicians, and an Accreditation Coordinator. </w:t>
            </w:r>
          </w:p>
          <w:p w:rsidR="00662306" w:rsidRPr="00A37B5A" w:rsidRDefault="009F66B3" w:rsidP="00A37B5A">
            <w:pPr>
              <w:spacing w:before="100" w:beforeAutospacing="1" w:after="100" w:afterAutospacing="1" w:line="240" w:lineRule="auto"/>
              <w:rPr>
                <w:rFonts w:ascii="Arial" w:eastAsia="Times New Roman" w:hAnsi="Arial" w:cs="Arial"/>
                <w:b/>
                <w:bCs/>
                <w:color w:val="676767"/>
                <w:sz w:val="20"/>
                <w:szCs w:val="20"/>
              </w:rPr>
            </w:pPr>
            <w:r>
              <w:rPr>
                <w:rFonts w:ascii="Arial" w:eastAsia="Times New Roman" w:hAnsi="Arial" w:cs="Arial"/>
                <w:b/>
                <w:bCs/>
                <w:color w:val="676767"/>
                <w:sz w:val="20"/>
                <w:szCs w:val="20"/>
              </w:rPr>
              <w:t xml:space="preserve">The County is currently in the process of constructing an $11 million facility to be completed in December 2020 and planning to apply for NAME accreditation in 2021. </w:t>
            </w:r>
          </w:p>
          <w:p w:rsidR="00A37B5A" w:rsidRPr="00A37B5A" w:rsidRDefault="00A37B5A" w:rsidP="00A37B5A">
            <w:pPr>
              <w:spacing w:before="100" w:beforeAutospacing="1" w:after="100" w:afterAutospacing="1"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A resume is required when applying for this position.</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b/>
                <w:bCs/>
                <w:color w:val="676767"/>
                <w:sz w:val="20"/>
                <w:szCs w:val="20"/>
              </w:rPr>
              <w:t>Selected candidate must be able to work a flexible schedule to meet the needs of the business which may require working weekends and/or holidays. Selected candidate must also be available to receive and respond to telephone inquiries from home, while acting in an on-call status.</w:t>
            </w: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Salary</w:t>
            </w:r>
          </w:p>
        </w:tc>
        <w:tc>
          <w:tcPr>
            <w:tcW w:w="0" w:type="auto"/>
            <w:hideMark/>
          </w:tcPr>
          <w:p w:rsidR="00A37B5A" w:rsidRDefault="00A37B5A" w:rsidP="00A37B5A">
            <w:pPr>
              <w:spacing w:after="0"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$225,000.00-$250,000.00 annually</w:t>
            </w:r>
          </w:p>
          <w:p w:rsidR="009F66B3" w:rsidRPr="00A37B5A" w:rsidRDefault="009F66B3" w:rsidP="00A37B5A">
            <w:pPr>
              <w:spacing w:after="0" w:line="240" w:lineRule="auto"/>
              <w:rPr>
                <w:rFonts w:ascii="Arial" w:eastAsia="Times New Roman" w:hAnsi="Arial" w:cs="Arial"/>
                <w:color w:val="676767"/>
                <w:sz w:val="20"/>
                <w:szCs w:val="20"/>
              </w:rPr>
            </w:pP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9F66B3" w:rsidP="00A37B5A">
            <w:pPr>
              <w:spacing w:after="0" w:line="240" w:lineRule="auto"/>
              <w:rPr>
                <w:rFonts w:ascii="Arial" w:eastAsia="Times New Roman" w:hAnsi="Arial" w:cs="Arial"/>
                <w:b/>
                <w:bCs/>
                <w:color w:val="676767"/>
                <w:sz w:val="20"/>
                <w:szCs w:val="20"/>
              </w:rPr>
            </w:pPr>
            <w:r>
              <w:rPr>
                <w:rFonts w:ascii="Arial" w:eastAsia="Times New Roman" w:hAnsi="Arial" w:cs="Arial"/>
                <w:b/>
                <w:bCs/>
                <w:color w:val="676767"/>
                <w:sz w:val="20"/>
                <w:szCs w:val="20"/>
              </w:rPr>
              <w:t>Benefits</w:t>
            </w:r>
          </w:p>
        </w:tc>
        <w:tc>
          <w:tcPr>
            <w:tcW w:w="0" w:type="auto"/>
            <w:hideMark/>
          </w:tcPr>
          <w:p w:rsidR="00A37B5A" w:rsidRPr="00A37B5A" w:rsidRDefault="009F66B3" w:rsidP="00A37B5A">
            <w:pPr>
              <w:spacing w:after="0" w:line="240" w:lineRule="auto"/>
              <w:rPr>
                <w:rFonts w:ascii="Arial" w:eastAsia="Times New Roman" w:hAnsi="Arial" w:cs="Arial"/>
                <w:color w:val="676767"/>
                <w:sz w:val="20"/>
                <w:szCs w:val="20"/>
              </w:rPr>
            </w:pPr>
            <w:r>
              <w:rPr>
                <w:rFonts w:ascii="Arial" w:eastAsia="Times New Roman" w:hAnsi="Arial" w:cs="Arial"/>
                <w:color w:val="676767"/>
                <w:sz w:val="20"/>
                <w:szCs w:val="20"/>
              </w:rPr>
              <w:t>O</w:t>
            </w:r>
            <w:bookmarkStart w:id="0" w:name="_GoBack"/>
            <w:bookmarkEnd w:id="0"/>
            <w:r>
              <w:rPr>
                <w:rFonts w:ascii="Arial" w:eastAsia="Times New Roman" w:hAnsi="Arial" w:cs="Arial"/>
                <w:color w:val="676767"/>
                <w:sz w:val="20"/>
                <w:szCs w:val="20"/>
              </w:rPr>
              <w:t xml:space="preserve">ur County offers a robust benefits package, including Medical (Anthem BCBS or Kaiser Plans), Dental (Delta Dental), Vision (United Healthcare), Supplemental Life Insurance, Disability Insurance, Sick and Annual Leave, 401K, and employee wellness clinic, and much more! </w:t>
            </w:r>
          </w:p>
        </w:tc>
      </w:tr>
      <w:tr w:rsidR="00A37B5A" w:rsidRPr="00A37B5A" w:rsidTr="009F66B3">
        <w:trPr>
          <w:tblCellSpacing w:w="0" w:type="dxa"/>
        </w:trPr>
        <w:tc>
          <w:tcPr>
            <w:tcW w:w="3270" w:type="dxa"/>
            <w:tcMar>
              <w:top w:w="90" w:type="dxa"/>
              <w:left w:w="0" w:type="dxa"/>
              <w:bottom w:w="90" w:type="dxa"/>
              <w:right w:w="0" w:type="dxa"/>
            </w:tcMar>
          </w:tcPr>
          <w:p w:rsidR="00A37B5A" w:rsidRPr="00A37B5A" w:rsidRDefault="00A37B5A" w:rsidP="00A37B5A">
            <w:pPr>
              <w:spacing w:after="0" w:line="240" w:lineRule="auto"/>
              <w:rPr>
                <w:rFonts w:ascii="Arial" w:eastAsia="Times New Roman" w:hAnsi="Arial" w:cs="Arial"/>
                <w:b/>
                <w:bCs/>
                <w:color w:val="676767"/>
                <w:sz w:val="20"/>
                <w:szCs w:val="20"/>
              </w:rPr>
            </w:pPr>
          </w:p>
        </w:tc>
        <w:tc>
          <w:tcPr>
            <w:tcW w:w="0" w:type="auto"/>
          </w:tcPr>
          <w:p w:rsidR="00A37B5A" w:rsidRPr="00A37B5A" w:rsidRDefault="00A37B5A" w:rsidP="00A37B5A">
            <w:pPr>
              <w:spacing w:after="0" w:line="240" w:lineRule="auto"/>
              <w:rPr>
                <w:rFonts w:ascii="Arial" w:eastAsia="Times New Roman" w:hAnsi="Arial" w:cs="Arial"/>
                <w:color w:val="676767"/>
                <w:sz w:val="20"/>
                <w:szCs w:val="20"/>
              </w:rPr>
            </w:pP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Essential Functions</w:t>
            </w:r>
          </w:p>
        </w:tc>
        <w:tc>
          <w:tcPr>
            <w:tcW w:w="0" w:type="auto"/>
            <w:hideMark/>
          </w:tcPr>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Plans, allocates and monitors time, people, equipment, and other resources to ensure efficient execution and completion of work.</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Monitors personnel and staff policies and procedures.</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Performs autopsies, gross and histological examinations of surgical specimens and prepares reports of findings.</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Reviewing data and directing the laboratory staff as and when required.</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lastRenderedPageBreak/>
              <w:t>Conducting the task of forensic pathology.</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Examines the body structures and internal organs of human bodies in order to trace the cause of death, disease or illness.</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Directs the determination and certification of causes of death, proper preparation of records and release of property of deceased persons.</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Directs the preservation of the chain of evidence.</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Reviews reports of other County agencies involved in death investigations.</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Testifies in legal proceedings or hearings when requested.</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Advises health departments, and government agencies involved in death investigations with relevant findings.</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Provides training and instruction on forensic pathology principles and investigative techniques.</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Maintains current knowledge of industry, regulatory and legislative developments affecting the operations of the Medical Examiner’s Office.</w:t>
            </w:r>
          </w:p>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Performs other related duties as assigned.</w:t>
            </w: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lastRenderedPageBreak/>
              <w:t>FLSA Status</w:t>
            </w:r>
          </w:p>
        </w:tc>
        <w:tc>
          <w:tcPr>
            <w:tcW w:w="0" w:type="auto"/>
            <w:hideMark/>
          </w:tcPr>
          <w:p w:rsidR="00A37B5A" w:rsidRPr="00A37B5A" w:rsidRDefault="00A37B5A" w:rsidP="00A37B5A">
            <w:pPr>
              <w:spacing w:after="0"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Exempt</w:t>
            </w:r>
          </w:p>
        </w:tc>
      </w:tr>
      <w:tr w:rsidR="00A37B5A" w:rsidRPr="00A37B5A" w:rsidTr="00A37B5A">
        <w:trPr>
          <w:tblCellSpacing w:w="0" w:type="dxa"/>
        </w:trPr>
        <w:tc>
          <w:tcPr>
            <w:tcW w:w="3270" w:type="dxa"/>
            <w:tcMar>
              <w:top w:w="90" w:type="dxa"/>
              <w:left w:w="0" w:type="dxa"/>
              <w:bottom w:w="90" w:type="dxa"/>
              <w:right w:w="0" w:type="dxa"/>
            </w:tcMar>
          </w:tcPr>
          <w:p w:rsidR="00A37B5A" w:rsidRPr="00A37B5A" w:rsidRDefault="00A37B5A" w:rsidP="00A37B5A">
            <w:pPr>
              <w:spacing w:after="0" w:line="240" w:lineRule="auto"/>
              <w:rPr>
                <w:rFonts w:ascii="Arial" w:eastAsia="Times New Roman" w:hAnsi="Arial" w:cs="Arial"/>
                <w:b/>
                <w:bCs/>
                <w:color w:val="676767"/>
                <w:sz w:val="20"/>
                <w:szCs w:val="20"/>
              </w:rPr>
            </w:pPr>
          </w:p>
        </w:tc>
        <w:tc>
          <w:tcPr>
            <w:tcW w:w="0" w:type="auto"/>
          </w:tcPr>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Hours worked per week (include over time)</w:t>
            </w:r>
          </w:p>
        </w:tc>
        <w:tc>
          <w:tcPr>
            <w:tcW w:w="0" w:type="auto"/>
            <w:hideMark/>
          </w:tcPr>
          <w:p w:rsidR="00A37B5A" w:rsidRPr="00A37B5A" w:rsidRDefault="00A37B5A" w:rsidP="00A37B5A">
            <w:pPr>
              <w:spacing w:after="0"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40+, Key Managerial</w:t>
            </w: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Internal or External</w:t>
            </w:r>
          </w:p>
        </w:tc>
        <w:tc>
          <w:tcPr>
            <w:tcW w:w="0" w:type="auto"/>
            <w:hideMark/>
          </w:tcPr>
          <w:p w:rsidR="00A37B5A" w:rsidRPr="00A37B5A" w:rsidRDefault="00A37B5A" w:rsidP="00A37B5A">
            <w:pPr>
              <w:spacing w:after="0"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External-Open to Public</w:t>
            </w: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Minimum Qualifications</w:t>
            </w:r>
          </w:p>
        </w:tc>
        <w:tc>
          <w:tcPr>
            <w:tcW w:w="0" w:type="auto"/>
            <w:hideMark/>
          </w:tcPr>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Medical Doctor licensed to practice medicine in the State of Georgia or the ability to obtain Georgia licensure as required by state law; successful completion of an anatomic pathology residency and forensic pathology fellowship; certification by the American Board of Pathology in Anatomic Pathology and Forensic Pathology or certification by the American Board of Pathology in Anatomic Pathology and Board eligibility in Forensic Pathology. A Board eligible candidate accepted for the position would be expected to obtain Board certification in Forensic Pathology within 2 years of hire.</w:t>
            </w: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License and Certifications</w:t>
            </w:r>
          </w:p>
        </w:tc>
        <w:tc>
          <w:tcPr>
            <w:tcW w:w="0" w:type="auto"/>
            <w:hideMark/>
          </w:tcPr>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Valid driver’s license.</w:t>
            </w:r>
            <w:r w:rsidRPr="00A37B5A">
              <w:rPr>
                <w:rFonts w:ascii="Arial" w:eastAsia="Times New Roman" w:hAnsi="Arial" w:cs="Arial"/>
                <w:color w:val="676767"/>
                <w:sz w:val="20"/>
                <w:szCs w:val="20"/>
              </w:rPr>
              <w:br/>
              <w:t>Georgia Medical License</w:t>
            </w:r>
            <w:r w:rsidRPr="00A37B5A">
              <w:rPr>
                <w:rFonts w:ascii="Arial" w:eastAsia="Times New Roman" w:hAnsi="Arial" w:cs="Arial"/>
                <w:color w:val="676767"/>
                <w:sz w:val="20"/>
                <w:szCs w:val="20"/>
              </w:rPr>
              <w:br/>
              <w:t>ABP Board Certification in Anatomic Pathology</w:t>
            </w:r>
            <w:r w:rsidRPr="00A37B5A">
              <w:rPr>
                <w:rFonts w:ascii="Arial" w:eastAsia="Times New Roman" w:hAnsi="Arial" w:cs="Arial"/>
                <w:color w:val="676767"/>
                <w:sz w:val="20"/>
                <w:szCs w:val="20"/>
              </w:rPr>
              <w:br/>
              <w:t>ABP Board certification or Eligibility in Forensic Pathology</w:t>
            </w: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Physical Abilities</w:t>
            </w:r>
          </w:p>
        </w:tc>
        <w:tc>
          <w:tcPr>
            <w:tcW w:w="0" w:type="auto"/>
            <w:hideMark/>
          </w:tcPr>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 xml:space="preserve">While performing the essential functions of this job, the incumbent is frequently required to lift, move or carry objects up to 50 </w:t>
            </w:r>
            <w:r w:rsidRPr="00A37B5A">
              <w:rPr>
                <w:rFonts w:ascii="Arial" w:eastAsia="Times New Roman" w:hAnsi="Arial" w:cs="Arial"/>
                <w:color w:val="676767"/>
                <w:sz w:val="20"/>
                <w:szCs w:val="20"/>
              </w:rPr>
              <w:lastRenderedPageBreak/>
              <w:t>pounds; ascend or descend ladders, stairs, scaffolding, ramps, poles; utilize feet and legs or hands and arms; maintain body equilibrium to prevent falling when walking, standing, crouching, or navigating narrow, slippery, or erratically moving surfaces; bend body downward and forward by bending spine and legs; move about on hands and knees or hands and feet; use hands to finger, handle or feel objects; and to reach with hands and arms. Occasionally incumbent may be required to push/pull objects in excess of 100 pounds.</w:t>
            </w: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p>
        </w:tc>
        <w:tc>
          <w:tcPr>
            <w:tcW w:w="0" w:type="auto"/>
            <w:hideMark/>
          </w:tcPr>
          <w:p w:rsidR="00A37B5A" w:rsidRPr="00A37B5A" w:rsidRDefault="00A37B5A" w:rsidP="00A37B5A">
            <w:pPr>
              <w:spacing w:after="0" w:line="240" w:lineRule="auto"/>
              <w:rPr>
                <w:rFonts w:ascii="Arial" w:eastAsia="Times New Roman" w:hAnsi="Arial" w:cs="Arial"/>
                <w:b/>
                <w:bCs/>
                <w:color w:val="676767"/>
                <w:sz w:val="20"/>
                <w:szCs w:val="20"/>
              </w:rPr>
            </w:pPr>
          </w:p>
        </w:tc>
      </w:tr>
      <w:tr w:rsidR="00A37B5A" w:rsidRPr="00A37B5A" w:rsidTr="00A37B5A">
        <w:trPr>
          <w:tblCellSpacing w:w="0" w:type="dxa"/>
        </w:trPr>
        <w:tc>
          <w:tcPr>
            <w:tcW w:w="3270" w:type="dxa"/>
            <w:tcMar>
              <w:top w:w="90" w:type="dxa"/>
              <w:left w:w="0" w:type="dxa"/>
              <w:bottom w:w="90" w:type="dxa"/>
              <w:right w:w="0" w:type="dxa"/>
            </w:tcMar>
            <w:hideMark/>
          </w:tcPr>
          <w:p w:rsidR="00A37B5A" w:rsidRPr="00A37B5A" w:rsidRDefault="00A37B5A" w:rsidP="00A37B5A">
            <w:pPr>
              <w:spacing w:after="0" w:line="240" w:lineRule="auto"/>
              <w:rPr>
                <w:rFonts w:ascii="Arial" w:eastAsia="Times New Roman" w:hAnsi="Arial" w:cs="Arial"/>
                <w:b/>
                <w:bCs/>
                <w:color w:val="676767"/>
                <w:sz w:val="20"/>
                <w:szCs w:val="20"/>
              </w:rPr>
            </w:pPr>
            <w:r w:rsidRPr="00A37B5A">
              <w:rPr>
                <w:rFonts w:ascii="Arial" w:eastAsia="Times New Roman" w:hAnsi="Arial" w:cs="Arial"/>
                <w:b/>
                <w:bCs/>
                <w:color w:val="676767"/>
                <w:sz w:val="20"/>
                <w:szCs w:val="20"/>
              </w:rPr>
              <w:t>Environmental Factors</w:t>
            </w:r>
          </w:p>
        </w:tc>
        <w:tc>
          <w:tcPr>
            <w:tcW w:w="0" w:type="auto"/>
            <w:hideMark/>
          </w:tcPr>
          <w:p w:rsidR="00A37B5A" w:rsidRPr="00A37B5A" w:rsidRDefault="00A37B5A" w:rsidP="00A37B5A">
            <w:pPr>
              <w:spacing w:before="100" w:beforeAutospacing="1" w:after="100" w:afterAutospacing="1" w:line="240" w:lineRule="auto"/>
              <w:rPr>
                <w:rFonts w:ascii="Arial" w:eastAsia="Times New Roman" w:hAnsi="Arial" w:cs="Arial"/>
                <w:color w:val="676767"/>
                <w:sz w:val="20"/>
                <w:szCs w:val="20"/>
              </w:rPr>
            </w:pPr>
            <w:r w:rsidRPr="00A37B5A">
              <w:rPr>
                <w:rFonts w:ascii="Arial" w:eastAsia="Times New Roman" w:hAnsi="Arial" w:cs="Arial"/>
                <w:color w:val="676767"/>
                <w:sz w:val="20"/>
                <w:szCs w:val="20"/>
              </w:rPr>
              <w:t>While performing the essential functions of this job, the incumbent is exposed to outside weather conditions during death scene investigations; non-weather related cold temperatures; conditions such as fumes and noxious odors; and possible exposure to biohazards such as blood, bodily fluids, formula and embalming fluid. Working hours may require irregular hours and shift times</w:t>
            </w:r>
          </w:p>
        </w:tc>
      </w:tr>
    </w:tbl>
    <w:p w:rsidR="001C0E75" w:rsidRDefault="001C0E75"/>
    <w:sectPr w:rsidR="001C0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5A"/>
    <w:rsid w:val="001C0E75"/>
    <w:rsid w:val="00662306"/>
    <w:rsid w:val="009F66B3"/>
    <w:rsid w:val="00A3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3E9D"/>
  <w15:chartTrackingRefBased/>
  <w15:docId w15:val="{3FE99848-8A31-4CB6-9E22-F5575CDC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Shirene</dc:creator>
  <cp:keywords/>
  <dc:description/>
  <cp:lastModifiedBy>Douglas, Shirene</cp:lastModifiedBy>
  <cp:revision>2</cp:revision>
  <dcterms:created xsi:type="dcterms:W3CDTF">2019-10-07T13:36:00Z</dcterms:created>
  <dcterms:modified xsi:type="dcterms:W3CDTF">2019-10-07T13:59:00Z</dcterms:modified>
</cp:coreProperties>
</file>